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Job role: </w:t>
      </w:r>
      <w:r w:rsidDel="00000000" w:rsidR="00000000" w:rsidRPr="00000000">
        <w:rPr>
          <w:rtl w:val="0"/>
        </w:rPr>
        <w:t xml:space="preserve"> Church and Community Engagement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6"/>
        <w:gridCol w:w="3685"/>
        <w:gridCol w:w="3260"/>
        <w:gridCol w:w="1701"/>
        <w:tblGridChange w:id="0">
          <w:tblGrid>
            <w:gridCol w:w="1986"/>
            <w:gridCol w:w="3685"/>
            <w:gridCol w:w="3260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Attributes</w:t>
            </w:r>
          </w:p>
        </w:tc>
        <w:tc>
          <w:tcPr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Method of Assessment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Education &amp; Training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Educated to GCSE level or equivalent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Q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Proven Ability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Experience of office working processes and practices with the ability to utilise them for maximum effectiveness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Experience of dealing professionally and effectively with volunteers, community groups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Experience of dealing with schools and churches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Special Knowledge &amp; Skills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High degree of IT literacy, particularly database management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I, E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Significant knowledge of Microsoft Office packages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Experience of bespoke industry software such as Data Collection Service, Beacon Fundraiser and Assemble Volunteer management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Familiar with current ‘best practice’ safeguarding policies and procedures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Familiar with current ‘best practice’ for GDPR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Special Qualities or Aptitudes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Able to set and work to goals without direct supervision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Effective listening skills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A,I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Ability to relate effectively to a wide spectrum of people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Can work within a team and contribute effectively to a team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Good self-motivation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Able to communicate effectively in writing and verbally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 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Able to adapt to changing priorities and circumstances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Full clean driving license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A,Q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Proven ability to prepare Powerpoint presentations and to be able to effectively deliver effective presentations to people of all ages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Good management of stress and stressful situations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A,I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Ability to demonstrate and share knowledge of foodbank by delivering workshops to schools/community groups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bCs w:val="1"/>
                <w:sz w:val="24"/>
                <w:szCs w:val="24"/>
                <w:rtl w:val="0"/>
              </w:rPr>
              <w:t xml:space="preserve">Any Other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Willingness to understand and engage with Methodism and be subject to its discipline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Satisfactory Enhanced Disclosure from the  Disclosure &amp; Barring Service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DBS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Application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sz w:val="24"/>
          <w:szCs w:val="24"/>
          <w:rtl w:val="0"/>
        </w:rPr>
        <w:t xml:space="preserve">A – Application form; I – Interview; E – Exercise; Q – proof of qualification (certificates or transcripts)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exend Dec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Deca-regular.ttf"/><Relationship Id="rId2" Type="http://schemas.openxmlformats.org/officeDocument/2006/relationships/font" Target="fonts/LexendDec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B50zEg3z7wyeolgaGA+TuKMXg==">CgMxLjA4AHIhMWhYMzkxUjhSNDZRMk9Mbm9MeHJNU1AtR1h1VWphTk5p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